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Лекці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0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КЛАСИ  ТОЧНОСТ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ЗАСОБІВ  ВИМ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РЮВАНЬ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Точність ЗВ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характеристика якості ЗВ, яка віддзеркалює близькість його похибки до нуля. Вважається, що чим меншою є похибка ЗВ, тим точніший ЗВ. На точність ЗВ впливають такі метрологічні характеристики (МХ), як стабільність, нестабільність, похибка, невизначеність, поріг чутливості, дрейф нуля та інші.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Стабільність ЗВ</w:t>
      </w:r>
      <w:r>
        <w:rPr>
          <w:rFonts w:ascii="Times New Roman" w:hAnsi="Times New Roman" w:cs="Times New Roman"/>
          <w:sz w:val="28"/>
          <w:szCs w:val="28"/>
        </w:rPr>
        <w:t xml:space="preserve"> – якісна характеристика ЗВ, яка відображає незмінність в часі його МХ. Кількісною оцінкою стабільності ЗВ є нестабільність ЗВ.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Нестабільність ЗВ</w:t>
      </w:r>
      <w:r>
        <w:rPr>
          <w:rFonts w:ascii="Times New Roman" w:hAnsi="Times New Roman" w:cs="Times New Roman"/>
          <w:sz w:val="28"/>
          <w:szCs w:val="28"/>
        </w:rPr>
        <w:t xml:space="preserve"> – змінення в часі МХ ЗВ за встановлений інтервал часу.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багатьох ЗВ, особливо деяких мір, нестабільність МХ є однією з важливіших характеристик точності. В багатьох випадках нестабільність обумовлена старінням окремих елементів ЗВ та іншими причинами. Нестабільність визначають на основі тривалих досліджень ЗВ з періодичними зіставленнями з іншими, більш стабільними, ЗВ; зазвичай встановлюють нестабільність за рік.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Наприклад: нестабільність нормального елемента характеризується зміненням дійсного значення електрорушійної сили (ЕРС) за рік і може складати </w:t>
      </w:r>
      <w:r>
        <w:rPr>
          <w:rFonts w:ascii="Times New Roman" w:hAnsi="Times New Roman" w:cs="Times New Roman"/>
          <w:sz w:val="28"/>
          <w:szCs w:val="28"/>
        </w:rPr>
        <w:sym w:font="Symbol" w:char="F06E"/>
      </w:r>
      <w:r>
        <w:rPr>
          <w:rFonts w:ascii="Times New Roman" w:hAnsi="Times New Roman" w:cs="Times New Roman"/>
          <w:sz w:val="28"/>
          <w:szCs w:val="28"/>
          <w:vertAlign w:val="subscript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=  2 мкВ/рік.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Нормальний елемент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(НЕ)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зворотний </w:t>
      </w:r>
      <w:r>
        <w:fldChar w:fldCharType="begin"/>
      </w:r>
      <w:r>
        <w:instrText xml:space="preserve"> HYPERLINK "https://ru.wikipedia.org/wiki/%D0%93%D0%B0%D0%BB%D1%8C%D0%B2%D0%B0%D0%BD%D0%B8%D1%87%D0%B5%D1%81%D0%BA%D0%B8%D0%B9_%D1%8D%D0%BB%D0%B5%D0%BC%D0%B5%D0%BD%D1%82" \o "Гальванический элемент" </w:instrText>
      </w:r>
      <w:r>
        <w:fldChar w:fldCharType="separate"/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гальванічний елемент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з високостабільним значенням ЕРС, який використовують як зразкову та робочу міру електрорушійної сили, а також в якості еталона напруги для повірок, калібрування та градуювання електровимірювальних приладів в лабораторних та цехових умовах. Нормальні елементи застосовують в компенсаційних схемах, приладах та різноманітних пристроях для точних вимірювань ЕРС, напруги, електричного струму, а з перетворювачами – для вимірювання неелектричних величин. Номінальні значення ЕРС різних сучасних нормальних елементів знаходяться в діапазоні значень від 1,018 В до 1,019 В. В залежності від концентрації електроліту нормальні елементи підрозділяють на насичені та ненасичені (Рис. 1, 2).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Значення ЕРС нормального елемента залежить від температури, тому її розраховують за емпіричною формулою:</w:t>
      </w:r>
    </w:p>
    <w:p>
      <w:pPr>
        <w:spacing w:after="0"/>
        <w:ind w:firstLine="426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 xml:space="preserve">             </m:t>
            </m:r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de-AT"/>
              </w:rPr>
              <m:t>E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e>
          <m:sub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t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sub>
        </m:sSub>
        <m:r>
          <m:rPr/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</w:rPr>
          <m:t xml:space="preserve"> </m:t>
        </m:r>
        <m:r>
          <m:rPr/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  <w:lang w:val="ru-RU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en-US"/>
              </w:rPr>
              <m:t>E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e>
          <m:sub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20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ub>
        </m:sSub>
        <m:r>
          <m:rPr/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  <w:lang w:val="ru-RU"/>
          </w:rPr>
          <m:t xml:space="preserve">− 0,00004 </m:t>
        </m:r>
        <m:d>
          <m:d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−20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e>
        </m:d>
        <m:r>
          <m:rPr/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  <w:lang w:val="ru-RU"/>
          </w:rPr>
          <m:t xml:space="preserve">− 0,000001 </m:t>
        </m:r>
        <m:sSup>
          <m:sSup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(</m:t>
            </m:r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−20)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e>
          <m:sup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2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up>
        </m:sSup>
        <m:r>
          <m:rPr/>
          <w:rPr>
            <w:rFonts w:ascii="Cambria Math" w:hAnsi="Cambria Math" w:cs="Times New Roman"/>
            <w:color w:val="202122"/>
            <w:sz w:val="28"/>
            <w:szCs w:val="28"/>
            <w:shd w:val="clear" w:color="auto" w:fill="FFFFFF"/>
            <w:lang w:val="ru-RU"/>
          </w:rPr>
          <m:t xml:space="preserve"> ,</m:t>
        </m:r>
      </m:oMath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  <w:t xml:space="preserve">                 ( 1.64)</w:t>
      </w:r>
    </w:p>
    <w:p>
      <w:pPr>
        <w:spacing w:after="0"/>
        <w:ind w:firstLine="426"/>
        <w:jc w:val="both"/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ru-RU"/>
        </w:rPr>
      </w:pPr>
    </w:p>
    <w:p>
      <w:pPr>
        <w:spacing w:after="0"/>
        <w:jc w:val="both"/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  <w:t xml:space="preserve">де  </w:t>
      </w:r>
      <m:oMath>
        <m:sSub>
          <m:sSub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de-AT"/>
              </w:rPr>
              <m:t>E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e>
          <m:sub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</w:rPr>
              <m:t>t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</w:rPr>
            </m:ctrlPr>
          </m:sub>
        </m:sSub>
      </m:oMath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ru-RU"/>
        </w:rPr>
        <w:t>Р</w:t>
      </w: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  <w:lang w:val="ru-RU"/>
        </w:rPr>
        <w:t xml:space="preserve"> елемента при температурі вимірювання,</w:t>
      </w:r>
    </w:p>
    <w:p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en-US"/>
              </w:rPr>
              <m:t>E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e>
          <m:sub>
            <m:r>
              <m:rPr/>
              <w:rPr>
                <w:rFonts w:ascii="Cambria Math" w:hAnsi="Cambria Math" w:cs="Times New Roman"/>
                <w:color w:val="202122"/>
                <w:sz w:val="28"/>
                <w:szCs w:val="28"/>
                <w:shd w:val="clear" w:color="auto" w:fill="FFFFFF"/>
                <w:lang w:val="ru-RU"/>
              </w:rPr>
              <m:t>20</m:t>
            </m:r>
            <m:ctrlPr>
              <w:rPr>
                <w:rFonts w:ascii="Cambria Math" w:hAnsi="Cambria Math" w:cs="Times New Roman"/>
                <w:i/>
                <w:color w:val="202122"/>
                <w:sz w:val="28"/>
                <w:szCs w:val="28"/>
                <w:shd w:val="clear" w:color="auto" w:fill="FFFFFF"/>
                <w:lang w:val="en-US"/>
              </w:rPr>
            </m:ctrlPr>
          </m:sub>
        </m:sSub>
      </m:oMath>
      <w:r>
        <w:rPr>
          <w:rFonts w:ascii="Times New Roman" w:hAnsi="Times New Roman" w:cs="Times New Roman" w:eastAsiaTheme="minorEastAsia"/>
          <w:color w:val="202122"/>
          <w:sz w:val="28"/>
          <w:szCs w:val="28"/>
          <w:shd w:val="clear" w:color="auto" w:fill="FFFFFF"/>
        </w:rPr>
        <w:t xml:space="preserve"> – ЕРС елемента при температурі +20 °С.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>
      <w:pPr>
        <w:spacing w:after="0"/>
        <w:ind w:firstLine="426"/>
        <w:jc w:val="both"/>
        <w:rPr>
          <w:lang w:val="ru-RU" w:eastAsia="ru-RU" w:bidi="ar-SA"/>
        </w:rPr>
      </w:pPr>
    </w:p>
    <w:p>
      <w:pPr>
        <w:spacing w:after="0"/>
        <w:jc w:val="center"/>
      </w:pPr>
      <w:r>
        <w:rPr>
          <w:lang w:val="ru-RU" w:eastAsia="ru-RU" w:bidi="ar-SA"/>
        </w:rPr>
        <w:drawing>
          <wp:inline distT="0" distB="0" distL="0" distR="0">
            <wp:extent cx="3657600" cy="2205355"/>
            <wp:effectExtent l="19050" t="0" r="0" b="0"/>
            <wp:docPr id="1" name="Рисунок 1" descr="Нормальные элементы насыще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Нормальные элементы насыщен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8747" cy="22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 w:bidi="ar-SA"/>
        </w:rPr>
        <w:drawing>
          <wp:inline distT="0" distB="0" distL="0" distR="0">
            <wp:extent cx="2208530" cy="2208530"/>
            <wp:effectExtent l="19050" t="0" r="1073" b="0"/>
            <wp:docPr id="2" name="Рисунок 4" descr="Нормальный элемент ненасыщенный МЭ4700 (МЭ-4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Нормальный элемент ненасыщенный МЭ4700 (МЭ-47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8794" cy="2208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– Зовнішній вигляд нормальних елементів</w:t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</w:rPr>
        <w:drawing>
          <wp:inline distT="0" distB="0" distL="0" distR="0">
            <wp:extent cx="4563110" cy="2543175"/>
            <wp:effectExtent l="19050" t="0" r="8835" b="0"/>
            <wp:docPr id="10" name="Рисунок 10" descr="Измерение ЭДС. Элемент Вестона - Электродные процессы. Электродвижущие 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мерение ЭДС. Элемент Вестона - Электродные процессы. Электродвижущие си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158" cy="25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 – Схематичне зображення принципу дії нормального елемента</w:t>
      </w:r>
    </w:p>
    <w:p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Похибку типу ЗВ оцінюють за допомогою нормованої метрологічної характеристики – класу точності.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 точності засобу вимірювань</w:t>
      </w:r>
      <w:r>
        <w:rPr>
          <w:rFonts w:ascii="Times New Roman" w:hAnsi="Times New Roman" w:cs="Times New Roman"/>
          <w:sz w:val="28"/>
          <w:szCs w:val="28"/>
        </w:rPr>
        <w:t xml:space="preserve"> – узагальнена характеристика ЗВ, яка виражається межами його допустимої основної та додатковими похибками, а також іншими характеристиками, які впливають на точність (наприклад, нестабільність).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Клас точності зазвичай позначають числом (в ваговимірювальній техніці – буквами).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Клас точності дає змогу визначати, в яких межах знаходиться похибка ЗВ одного типу, але не є безпосереднім покажчиком точності вимірювань, які виконують за допомогою окремого ЗВ цього типу.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Класи </w:t>
      </w:r>
      <w:r>
        <w:rPr>
          <w:rFonts w:ascii="Times New Roman" w:hAnsi="Times New Roman" w:cs="Times New Roman"/>
          <w:sz w:val="28"/>
          <w:szCs w:val="28"/>
        </w:rPr>
        <w:t xml:space="preserve">точності ЗВ конкретного типу встановлюють в стандартах технічних вимог (умов) або в іншій технічній документації, затвердженої у встановленому порядку. При цьому для кожного класу точності встановлюють конкретні вимоги до МХ, які сукупно відображують рівень точності ЗВ даного класу точності.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ЗВ з двома або більшою кількістю діапазонів вимірювань однієї ФВ допускається присвоювати два і більше класів точності (в кожному під діапазоні – «свій» клас точності).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ЗВ, які призначені для вимірювань двох або більшої кількості ФВ, допускається присвоювати різні класи точності для кожної вимірюваної величини.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 електровимірювальному приладу, призначеному для вимірювання електричної напруги та опору, можуть бути присвоєні два класи точності: один як вольтметру, а другий – як омметру.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Класи точності ЗВ встановлюють при їх розробці за результатами випробувань або оцінки відповідності. У зв’язку з тим, що при експлуатації ЗВ їх МХ зазвичай погіршуються, то дозволяється погіршувати клас точності ЗВ за результатами їх повірки (або калібрування). 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Загальні вимоги до класів точності встановлені в державному стандарті на класи точності. ДСТУ </w:t>
      </w:r>
      <w:r>
        <w:rPr>
          <w:rFonts w:ascii="Times New Roman" w:hAnsi="Times New Roman" w:cs="Times New Roman"/>
          <w:sz w:val="28"/>
          <w:szCs w:val="28"/>
          <w:lang w:val="en-US"/>
        </w:rPr>
        <w:t>OIML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34:2014 Метрологія. Класи точності засобів вимірювальної техніки (</w:t>
      </w:r>
      <w:r>
        <w:rPr>
          <w:rFonts w:ascii="Times New Roman" w:hAnsi="Times New Roman" w:cs="Times New Roman"/>
          <w:sz w:val="28"/>
          <w:szCs w:val="28"/>
          <w:lang w:val="en-US"/>
        </w:rPr>
        <w:t>OIML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34:1979, </w:t>
      </w:r>
      <w:r>
        <w:rPr>
          <w:rFonts w:ascii="Times New Roman" w:hAnsi="Times New Roman" w:cs="Times New Roman"/>
          <w:sz w:val="28"/>
          <w:szCs w:val="28"/>
          <w:lang w:val="en-US"/>
        </w:rPr>
        <w:t>IDT</w:t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Параметри та характеристики ЗВТ, застосовувані під час класифікування ЗВТ за його точністю: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основна похибка;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додаткова похибка, спричинювана змінами впливових величин, які зумовлюють зміни показів ЗВТ, зміни величини, відтворюваної матеріальними міра-ми, або зміни метрологічних характеристик вимірювальних перетворювачів;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нестабільність із часом;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похибка гістерезису;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інші властивості, що впливають на точність ЗВТ.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ЗВТ, на які поширюється цей стандарт: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матеріальні міри;</w:t>
      </w:r>
    </w:p>
    <w:p>
      <w:pPr>
        <w:pStyle w:val="19"/>
        <w:spacing w:before="0" w:beforeAutospacing="0" w:after="101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засоби вимірювань;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вимірювальні перетворювачі, якщо ці ЗВТ призначено для застосування за умов, коли похибки через інерцію менші за встановлені максимальні похибки.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цього стандарту не обов’язкові для нуль-індикаторів або устаткування, спеціально розробленого для вимірювання за значною кількістю зчитуваних показів та визначення результатів вимірювань як арифметичного середнього кількох спостережень.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цього стандарту також не поширюються на ЗВТ, призначені для відтворення, перетворення та вимірювання величин, пов’язаних одночасно з кількома параметрами, якщо для цих ЗВТ установлено різні максимальні похибки для цих параметрів (наприклад, вимірювальні генератори осцилографа з випромінювальними катодами).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rFonts w:hint="default"/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uk-UA"/>
        </w:rPr>
        <w:t xml:space="preserve">.1. Форми подання меж допустимих похибок ЗВ </w:t>
      </w:r>
    </w:p>
    <w:p>
      <w:pPr>
        <w:pStyle w:val="1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подання класу точності ЗВ визначається межами допустимої основної похибки вимірювань. В багатьох випадках разом з основною похибкою нормують межі допустимої додаткової похибки, форма подання якої може відрізнятись від форми подання основної похибки.</w:t>
      </w:r>
    </w:p>
    <w:p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Основна похибка ЗВ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 </w:t>
      </w:r>
      <w:r>
        <w:rPr>
          <w:rFonts w:ascii="Times New Roman" w:hAnsi="Times New Roman" w:cs="Times New Roman"/>
          <w:sz w:val="28"/>
          <w:szCs w:val="28"/>
        </w:rPr>
        <w:t>похибка ЗВ, який використовують в </w:t>
      </w:r>
      <w:r>
        <w:fldChar w:fldCharType="begin"/>
      </w:r>
      <w:r>
        <w:instrText xml:space="preserve"> HYPERLINK "https://www.lcard.ru/lexicon/normal_condition" </w:instrText>
      </w:r>
      <w:r>
        <w:fldChar w:fldCharType="separate"/>
      </w:r>
      <w:r>
        <w:rPr>
          <w:rStyle w:val="14"/>
          <w:rFonts w:ascii="Times New Roman" w:hAnsi="Times New Roman" w:cs="Times New Roman"/>
          <w:color w:val="auto"/>
          <w:sz w:val="28"/>
          <w:szCs w:val="28"/>
        </w:rPr>
        <w:t>нормальних умовах</w:t>
      </w:r>
      <w:r>
        <w:rPr>
          <w:rStyle w:val="14"/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Додаткова  похибка ЗВ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складова похибки ЗВ, яка виникає додатково до основної похибки як результат відхилення будь-якої з впливових величин від нормального її значення або внаслідок її виходу за межі нормальної області значень.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 точності вимірювальних приладів в більшості випадків подається межами допустимої основної </w:t>
      </w:r>
      <w:r>
        <w:rPr>
          <w:sz w:val="28"/>
          <w:szCs w:val="28"/>
          <w:u w:val="single"/>
          <w:lang w:val="uk-UA"/>
        </w:rPr>
        <w:t>відносної</w:t>
      </w:r>
      <w:r>
        <w:rPr>
          <w:sz w:val="28"/>
          <w:szCs w:val="28"/>
          <w:lang w:val="uk-UA"/>
        </w:rPr>
        <w:t xml:space="preserve"> або </w:t>
      </w:r>
      <w:r>
        <w:rPr>
          <w:sz w:val="28"/>
          <w:szCs w:val="28"/>
          <w:u w:val="single"/>
          <w:lang w:val="uk-UA"/>
        </w:rPr>
        <w:t>наведеної</w:t>
      </w:r>
      <w:r>
        <w:rPr>
          <w:sz w:val="28"/>
          <w:szCs w:val="28"/>
          <w:lang w:val="uk-UA"/>
        </w:rPr>
        <w:t xml:space="preserve"> похибок. При цьому основою для визначення форми подання класу точності є характер змінення основної </w:t>
      </w:r>
      <w:r>
        <w:rPr>
          <w:sz w:val="28"/>
          <w:szCs w:val="28"/>
          <w:u w:val="single"/>
          <w:lang w:val="uk-UA"/>
        </w:rPr>
        <w:t>абсолютної</w:t>
      </w:r>
      <w:r>
        <w:rPr>
          <w:sz w:val="28"/>
          <w:szCs w:val="28"/>
          <w:lang w:val="uk-UA"/>
        </w:rPr>
        <w:t xml:space="preserve"> похибки ЗВ. 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Межі допустимих похибок вимірювань подають в формі:</w:t>
      </w:r>
    </w:p>
    <w:p>
      <w:pPr>
        <w:pStyle w:val="19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абсолютних похибок, якщо  похибку результатів вимірювань прийнято виражати в одиницях виміряної ФВ або в поділках шкали: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>,                                                        (1.64)</w:t>
      </w: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межі абсолютних похибок залишаються практично незмінними (Рис. 1,а);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</w:t>
      </w:r>
      <w:r>
        <w:rPr>
          <w:i/>
          <w:sz w:val="28"/>
          <w:szCs w:val="28"/>
          <w:lang w:val="uk-UA"/>
        </w:rPr>
        <w:t>b</w:t>
      </w:r>
      <w:r>
        <w:rPr>
          <w:i/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,                                                      (1.65)</w:t>
      </w:r>
    </w:p>
    <w:p>
      <w:pPr>
        <w:pStyle w:val="1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межі абсолютних похибок змінюються лінійно в межах діапазону вимірювань (Рис. 1,б);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uk-UA"/>
        </w:rPr>
        <w:t xml:space="preserve"> + b</w:t>
      </w:r>
      <w:r>
        <w:rPr>
          <w:i/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),                                                 (1.66)</w:t>
      </w:r>
    </w:p>
    <w:p>
      <w:pPr>
        <w:pStyle w:val="19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межі абсолютних похибок змінюються лінійно з якогось значення (Рис. 1,в), 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i/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- межі допустимої абсолютної основної похибки,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 – значення виміряної ФВ на вході (виході) або умовно в поділках шкали,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i/>
          <w:sz w:val="28"/>
          <w:szCs w:val="28"/>
          <w:lang w:val="uk-UA"/>
        </w:rPr>
        <w:t xml:space="preserve"> b</w:t>
      </w:r>
      <w:r>
        <w:rPr>
          <w:sz w:val="28"/>
          <w:szCs w:val="28"/>
          <w:lang w:val="uk-UA"/>
        </w:rPr>
        <w:t xml:space="preserve"> – додатні числа, які не залежать від </w:t>
      </w:r>
      <w:r>
        <w:rPr>
          <w:i/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.   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group id="_x0000_s1044" o:spid="_x0000_s1044" o:spt="203" style="position:absolute;left:0pt;margin-left:24.85pt;margin-top:4.65pt;height:130.15pt;width:450.1pt;z-index:251659264;mso-width-relative:page;mso-height-relative:page;" coordorigin="1754,1227" coordsize="9002,2603">
            <o:lock v:ext="edit"/>
            <v:shape id="_x0000_s1027" o:spid="_x0000_s1027" o:spt="32" type="#_x0000_t32" style="position:absolute;left:1754;top:1227;flip:y;height:249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28" o:spid="_x0000_s1028" o:spt="32" type="#_x0000_t32" style="position:absolute;left:1754;top:2576;height:0;width:251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29" o:spid="_x0000_s1029" o:spt="32" type="#_x0000_t32" style="position:absolute;left:8241;top:1227;flip:y;height:249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0" o:spid="_x0000_s1030" o:spt="32" type="#_x0000_t32" style="position:absolute;left:8241;top:2576;height:0;width:251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1" o:spid="_x0000_s1031" o:spt="32" type="#_x0000_t32" style="position:absolute;left:5050;top:1227;flip:y;height:2495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2" o:spid="_x0000_s1032" o:spt="32" type="#_x0000_t32" style="position:absolute;left:5050;top:2576;height:0;width:251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33" o:spid="_x0000_s1033" o:spt="32" type="#_x0000_t32" style="position:absolute;left:1754;top:2089;height:0;width:2252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35" o:spid="_x0000_s1035" o:spt="32" type="#_x0000_t32" style="position:absolute;left:1754;top:3073;height:0;width:2252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36" o:spid="_x0000_s1036" o:spt="32" type="#_x0000_t32" style="position:absolute;left:5050;top:1734;flip:y;height:842;width:2140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37" o:spid="_x0000_s1037" o:spt="32" type="#_x0000_t32" style="position:absolute;left:5050;top:2576;height:933;width:2069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38" o:spid="_x0000_s1038" o:spt="32" type="#_x0000_t32" style="position:absolute;left:8241;top:1416;flip:y;height:842;width:2140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39" o:spid="_x0000_s1039" o:spt="32" type="#_x0000_t32" style="position:absolute;left:8241;top:2897;height:933;width:2069;" o:connectortype="straight" filled="f" coordsize="21600,21600">
              <v:path arrowok="t"/>
              <v:fill on="f" focussize="0,0"/>
              <v:stroke weight="1pt"/>
              <v:imagedata o:title=""/>
              <o:lock v:ext="edit"/>
            </v:shape>
            <v:shape id="_x0000_s1040" o:spid="_x0000_s1040" o:spt="19" type="#_x0000_t19" style="position:absolute;left:5780;top:2258;height:318;width:143;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41" o:spid="_x0000_s1041" o:spt="32" type="#_x0000_t32" style="position:absolute;left:8241;top:2258;height:0;width:947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042" o:spid="_x0000_s1042" o:spt="32" type="#_x0000_t32" style="position:absolute;left:8241;top:2897;height:0;width:947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043" o:spid="_x0000_s1043" o:spt="19" type="#_x0000_t19" style="position:absolute;left:8853;top:2018;height:240;width:143;" filled="f" coordsize="21600,21600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                                         </w:t>
      </w:r>
      <w:r>
        <w:rPr>
          <w:sz w:val="28"/>
          <w:szCs w:val="28"/>
          <w:lang w:val="uk-UA"/>
        </w:rPr>
        <w:sym w:font="Symbol" w:char="F044"/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lang w:val="uk-UA"/>
        </w:rPr>
        <w:t>х</w:t>
      </w:r>
    </w:p>
    <w:p>
      <w:pPr>
        <w:pStyle w:val="19"/>
        <w:spacing w:before="0" w:beforeAutospacing="0" w:after="0" w:afterAutospacing="0" w:line="276" w:lineRule="auto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uk-UA"/>
        </w:rPr>
        <w:t xml:space="preserve">                                                   </w:t>
      </w:r>
      <w:r>
        <w:rPr>
          <w:i/>
          <w:sz w:val="28"/>
          <w:szCs w:val="28"/>
          <w:lang w:val="en-US"/>
        </w:rPr>
        <w:t xml:space="preserve">tg </w:t>
      </w:r>
      <w:r>
        <w:rPr>
          <w:i/>
          <w:sz w:val="28"/>
          <w:szCs w:val="28"/>
          <w:lang w:val="de-AT"/>
        </w:rPr>
        <w:t>α</w:t>
      </w:r>
      <w:r>
        <w:rPr>
          <w:i/>
          <w:sz w:val="28"/>
          <w:szCs w:val="28"/>
          <w:lang w:val="en-US"/>
        </w:rPr>
        <w:t>=b</w:t>
      </w:r>
      <w:r>
        <w:rPr>
          <w:i/>
          <w:sz w:val="28"/>
          <w:szCs w:val="28"/>
          <w:lang w:val="uk-UA"/>
        </w:rPr>
        <w:t xml:space="preserve">                           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uk-UA"/>
        </w:rPr>
        <w:t xml:space="preserve">                α          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α                          </w:t>
      </w:r>
    </w:p>
    <w:p>
      <w:pPr>
        <w:pStyle w:val="19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</w:t>
      </w:r>
      <w:r>
        <w:rPr>
          <w:i/>
          <w:sz w:val="28"/>
          <w:szCs w:val="28"/>
        </w:rPr>
        <w:t xml:space="preserve">х                          </w:t>
      </w:r>
      <w:r>
        <w:rPr>
          <w:i/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</w:rPr>
        <w:t xml:space="preserve">           х  </w:t>
      </w:r>
      <w:r>
        <w:rPr>
          <w:i/>
          <w:sz w:val="28"/>
          <w:szCs w:val="28"/>
          <w:lang w:val="uk-UA"/>
        </w:rPr>
        <w:t xml:space="preserve"> -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                      </w:t>
      </w:r>
      <w:r>
        <w:rPr>
          <w:i/>
          <w:sz w:val="28"/>
          <w:szCs w:val="28"/>
          <w:lang w:val="uk-UA"/>
        </w:rPr>
        <w:t xml:space="preserve">       </w:t>
      </w:r>
      <w:r>
        <w:rPr>
          <w:i/>
          <w:sz w:val="28"/>
          <w:szCs w:val="28"/>
        </w:rPr>
        <w:t xml:space="preserve">   х              -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            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-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lang w:val="uk-UA"/>
        </w:rPr>
        <w:t>х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а                                                б                                       в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Рис.1 – Варіанти зміни меж абсолютних похибок ЗВ</w:t>
      </w:r>
    </w:p>
    <w:p>
      <w:pPr>
        <w:pStyle w:val="19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</w:p>
    <w:p>
      <w:pPr>
        <w:pStyle w:val="19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наведених похибок, якщо основна абсолютна похибка має адитивний характер, тобто межі похибок ЗВ не змінюються в діапазоні вимірювань (Рис. 1,а), то клас точності представляється межами допустимої наведеної похибки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m:oMath>
        <m:r>
          <m:rPr/>
          <w:rPr>
            <w:rFonts w:ascii="Cambria Math" w:hAnsi="Cambria Math"/>
            <w:sz w:val="28"/>
            <w:szCs w:val="28"/>
            <w:lang w:val="uk-UA"/>
          </w:rPr>
          <m:t xml:space="preserve">γ= ±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  <w:lang w:val="de-AT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 ∙100%</m:t>
        </m:r>
        <m:r>
          <m:rPr/>
          <w:rPr>
            <w:rFonts w:ascii="Cambria Math" w:hAnsi="Cambria Math"/>
            <w:sz w:val="28"/>
            <w:szCs w:val="28"/>
          </w:rPr>
          <m:t xml:space="preserve">= ± </m:t>
        </m:r>
        <m:r>
          <m:rPr/>
          <w:rPr>
            <w:rFonts w:ascii="Cambria Math" w:hAnsi="Cambria Math"/>
            <w:sz w:val="28"/>
            <w:szCs w:val="28"/>
            <w:lang w:val="en-US"/>
          </w:rPr>
          <m:t>p</m:t>
        </m:r>
        <m:r>
          <m:rPr/>
          <w:rPr>
            <w:rFonts w:ascii="Cambria Math" w:hAnsi="Cambria Math"/>
            <w:sz w:val="28"/>
            <w:szCs w:val="28"/>
          </w:rPr>
          <m:t>, %,</m:t>
        </m:r>
      </m:oMath>
      <w:r>
        <w:rPr>
          <w:sz w:val="28"/>
          <w:szCs w:val="28"/>
        </w:rPr>
        <w:t xml:space="preserve">                                    (1.67)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</w:t>
      </w:r>
      <w:r>
        <w:rPr>
          <w:i/>
          <w:sz w:val="28"/>
          <w:szCs w:val="28"/>
          <w:lang w:val="uk-UA"/>
        </w:rPr>
        <w:t>a</w:t>
      </w:r>
      <w:r>
        <w:rPr>
          <w:sz w:val="28"/>
          <w:szCs w:val="28"/>
          <w:lang w:val="uk-UA"/>
        </w:rPr>
        <w:t xml:space="preserve">  - межі допустимої абсолютної похибки приладу;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– абстрактне позитивне число, яке обирають із стандартного ряду (вказано нижче);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i/>
          <w:sz w:val="28"/>
          <w:szCs w:val="28"/>
          <w:lang w:val="uk-UA"/>
        </w:rPr>
        <w:t>Х</w:t>
      </w:r>
      <w:r>
        <w:rPr>
          <w:i/>
          <w:sz w:val="28"/>
          <w:szCs w:val="28"/>
          <w:vertAlign w:val="subscript"/>
          <w:lang w:val="de-AT"/>
        </w:rPr>
        <w:t>N</w:t>
      </w:r>
      <w:r>
        <w:rPr>
          <w:sz w:val="28"/>
          <w:szCs w:val="28"/>
          <w:lang w:val="uk-UA"/>
        </w:rPr>
        <w:t xml:space="preserve"> – нормуюче значення, виражене в одиницях абсолютної похибки.</w:t>
      </w:r>
    </w:p>
    <w:p>
      <w:pPr>
        <w:pStyle w:val="19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відносних похибок.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Якщо основна абсолютна похибка має мультиплікативний характер, тобто межі похибок ЗВ лінійно змінюються в діапазоні вимірювання (Рис. 1,б), то клас точності представляють межами допустимої відносної похибки у вигляді</w:t>
      </w: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</w:t>
      </w:r>
      <m:oMath>
        <m:r>
          <m:rPr/>
          <w:rPr>
            <w:rFonts w:ascii="Cambria Math" w:hAnsi="Cambria Math"/>
            <w:sz w:val="28"/>
            <w:szCs w:val="28"/>
            <w:lang w:val="uk-UA"/>
          </w:rPr>
          <m:t xml:space="preserve">δ= ±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 ∙100%= ±</m:t>
        </m:r>
        <m:r>
          <m:rPr/>
          <w:rPr>
            <w:rFonts w:ascii="Cambria Math" w:hAnsi="Cambria Math"/>
            <w:sz w:val="28"/>
            <w:szCs w:val="28"/>
            <w:lang w:val="de-AT"/>
          </w:rPr>
          <m:t>q</m:t>
        </m:r>
        <m:r>
          <m:rPr/>
          <w:rPr>
            <w:rFonts w:ascii="Cambria Math" w:hAnsi="Cambria Math"/>
            <w:sz w:val="28"/>
            <w:szCs w:val="28"/>
          </w:rPr>
          <m:t>, % ,</m:t>
        </m:r>
      </m:oMath>
      <w:r>
        <w:rPr>
          <w:sz w:val="28"/>
          <w:szCs w:val="28"/>
        </w:rPr>
        <w:t xml:space="preserve">                                   (1.68)</w:t>
      </w: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</w:t>
      </w:r>
      <w:r>
        <w:rPr>
          <w:i/>
          <w:sz w:val="28"/>
          <w:szCs w:val="28"/>
          <w:lang w:val="uk-UA"/>
        </w:rPr>
        <w:t>b</w:t>
      </w:r>
      <w:r>
        <w:rPr>
          <w:i/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 – межі допустимої основної абсолютної похибки приладу 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>=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en-US"/>
        </w:rPr>
        <w:t>tg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de-AT"/>
        </w:rPr>
        <w:t>α</w:t>
      </w:r>
      <w:r>
        <w:rPr>
          <w:sz w:val="28"/>
          <w:szCs w:val="28"/>
          <w:lang w:val="uk-UA"/>
        </w:rPr>
        <w:t>);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– показання приладу (без урахування знаку виміряної величини);</w:t>
      </w: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de-AT"/>
        </w:rPr>
        <w:t>q</w:t>
      </w:r>
      <w:r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абстрактне позитивне число, яке обирають із стандартного ряду (вказано нижче)</w:t>
      </w:r>
      <w:r>
        <w:rPr>
          <w:sz w:val="28"/>
          <w:szCs w:val="28"/>
        </w:rPr>
        <w:t>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Якщо основна абсолютна похибка має і адитивну, і мультиплікативну складові (Рис. 1,в), то клас точності представляють межами допустимої відносної похибки у вигляді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m:oMath>
        <m:r>
          <m:rPr/>
          <w:rPr>
            <w:rFonts w:ascii="Cambria Math" w:hAnsi="Cambria Math"/>
            <w:sz w:val="28"/>
            <w:szCs w:val="28"/>
          </w:rPr>
          <m:t xml:space="preserve"> δ= ±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∆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х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</w:rPr>
          <m:t xml:space="preserve"> ∙100%= ±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</w:rPr>
              <m:t>c+</m:t>
            </m:r>
            <m:r>
              <m:rPr/>
              <w:rPr>
                <w:rFonts w:ascii="Cambria Math" w:hAnsi="Cambria Math"/>
                <w:sz w:val="28"/>
                <w:szCs w:val="28"/>
                <w:lang w:val="de-AT"/>
              </w:rPr>
              <m:t>d</m:t>
            </m:r>
            <m:r>
              <m:rPr/>
              <w:rPr>
                <w:rFonts w:ascii="Cambria Math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de-AT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de-AT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de-AT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de-AT"/>
                              </w:rPr>
                            </m:ctrlPr>
                          </m:sSubPr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AT"/>
                              </w:rPr>
                              <m:t>X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de-AT"/>
                              </w:rPr>
                            </m:ctrlPr>
                          </m:e>
                          <m:sub>
                            <m:r>
                              <m:rPr/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de-AT"/>
                              </w:rPr>
                              <m:t>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de-AT"/>
                              </w:rPr>
                            </m:ctrlP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de-AT"/>
                          </w:rPr>
                        </m:ctrlPr>
                      </m:num>
                      <m:den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  <w:lang w:val="de-AT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de-AT"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de-AT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−1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de-AT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m:rPr/>
          <w:rPr>
            <w:rFonts w:ascii="Cambria Math" w:hAnsi="Cambria Math"/>
            <w:sz w:val="28"/>
            <w:szCs w:val="28"/>
          </w:rPr>
          <m:t xml:space="preserve">, %, </m:t>
        </m:r>
      </m:oMath>
      <w:r>
        <w:rPr>
          <w:sz w:val="28"/>
          <w:szCs w:val="28"/>
        </w:rPr>
        <w:t xml:space="preserve">                         (1.69)</w:t>
      </w: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де  </w:t>
      </w:r>
      <w:r>
        <w:rPr>
          <w:sz w:val="28"/>
          <w:szCs w:val="28"/>
          <w:lang w:val="uk-UA"/>
        </w:rPr>
        <w:sym w:font="Symbol" w:char="F044"/>
      </w:r>
      <w:r>
        <w:rPr>
          <w:sz w:val="28"/>
          <w:szCs w:val="28"/>
          <w:lang w:val="uk-UA"/>
        </w:rPr>
        <w:t xml:space="preserve"> = ± (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lang w:val="uk-UA"/>
        </w:rPr>
        <w:t xml:space="preserve"> + b</w:t>
      </w:r>
      <w:r>
        <w:rPr>
          <w:i/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 xml:space="preserve">), </w:t>
      </w:r>
      <w:r>
        <w:rPr>
          <w:i/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 і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– абстрактні позитивні числа.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Формулу (1.69) отримують за результатом перетворень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∆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r>
              <m:rPr/>
              <w:rPr>
                <w:rFonts w:ascii="Cambria Math" w:hAnsi="Cambria Math"/>
                <w:sz w:val="28"/>
                <w:szCs w:val="28"/>
              </w:rPr>
              <m:t>bx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+ </m:t>
        </m:r>
        <m:r>
          <m:rPr/>
          <w:rPr>
            <w:rFonts w:ascii="Cambria Math" w:hAnsi="Cambria Math"/>
            <w:sz w:val="28"/>
            <w:szCs w:val="28"/>
          </w:rPr>
          <m:t>b</m:t>
        </m:r>
        <m:r>
          <m:rPr/>
          <w:rPr>
            <w:rFonts w:ascii="Cambria Math" w:hAnsi="Cambria Math"/>
            <w:sz w:val="28"/>
            <w:szCs w:val="28"/>
            <w:lang w:val="uk-U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−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28"/>
              </w:rPr>
              <m:t>b</m:t>
            </m:r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uk-U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  <w:lang w:val="uk-UA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m:rPr/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ub>
                    </m:sSub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m:rPr/>
              <w:rPr>
                <w:rFonts w:ascii="Cambria Math" w:hAnsi="Cambria Math"/>
                <w:sz w:val="28"/>
                <w:szCs w:val="28"/>
                <w:lang w:val="uk-UA"/>
              </w:rPr>
              <m:t>− 1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d>
        <m:r>
          <m:rPr/>
          <w:rPr>
            <w:rFonts w:ascii="Cambria Math" w:hAnsi="Cambria Math"/>
            <w:sz w:val="28"/>
            <w:szCs w:val="28"/>
            <w:lang w:val="uk-UA"/>
          </w:rPr>
          <m:t xml:space="preserve"> ,</m:t>
        </m:r>
      </m:oMath>
      <w:r>
        <w:rPr>
          <w:sz w:val="28"/>
          <w:szCs w:val="28"/>
          <w:lang w:val="uk-UA"/>
        </w:rPr>
        <w:t xml:space="preserve">  </w:t>
      </w:r>
    </w:p>
    <w:p>
      <w:pPr>
        <w:pStyle w:val="19"/>
        <w:spacing w:before="0" w:beforeAutospacing="0" w:after="0" w:afterAutospacing="0" w:line="276" w:lineRule="auto"/>
        <w:ind w:firstLine="426"/>
        <w:jc w:val="center"/>
        <w:rPr>
          <w:sz w:val="28"/>
          <w:szCs w:val="28"/>
        </w:rPr>
      </w:pPr>
    </w:p>
    <w:p>
      <w:pPr>
        <w:pStyle w:val="19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причому </w:t>
      </w:r>
      <m:oMath>
        <m:r>
          <m:rPr/>
          <w:rPr>
            <w:rFonts w:ascii="Cambria Math" w:hAnsi="Cambria Math"/>
            <w:sz w:val="28"/>
            <w:szCs w:val="28"/>
          </w:rPr>
          <m:t>b</m:t>
        </m:r>
        <m:r>
          <m:rPr/>
          <w:rPr>
            <w:rFonts w:ascii="Cambria Math" w:hAnsi="Cambria Math"/>
            <w:sz w:val="28"/>
            <w:szCs w:val="28"/>
            <w:lang w:val="uk-U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</w:rPr>
          <m:t>=</m:t>
        </m:r>
        <m:r>
          <m:rPr/>
          <w:rPr>
            <w:rFonts w:ascii="Cambria Math" w:hAnsi="Cambria Math"/>
            <w:sz w:val="28"/>
            <w:szCs w:val="28"/>
            <w:lang w:val="de-AT"/>
          </w:rPr>
          <m:t>c</m:t>
        </m:r>
        <m:r>
          <m:rPr/>
          <w:rPr>
            <w:rFonts w:ascii="Cambria Math" w:hAnsi="Cambria Math"/>
            <w:sz w:val="28"/>
            <w:szCs w:val="28"/>
          </w:rPr>
          <m:t xml:space="preserve">,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  <m:r>
          <m:rPr/>
          <w:rPr>
            <w:rFonts w:ascii="Cambria Math" w:hAnsi="Cambria Math"/>
            <w:sz w:val="28"/>
            <w:szCs w:val="28"/>
          </w:rPr>
          <m:t>=d</m:t>
        </m:r>
      </m:oMath>
      <w:r>
        <w:rPr>
          <w:sz w:val="28"/>
          <w:szCs w:val="28"/>
        </w:rPr>
        <w:t xml:space="preserve"> , </w:t>
      </w:r>
      <w:r>
        <w:rPr>
          <w:sz w:val="28"/>
          <w:szCs w:val="28"/>
          <w:lang w:val="uk-UA"/>
        </w:rPr>
        <w:t xml:space="preserve">відношення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>
        <w:rPr>
          <w:sz w:val="28"/>
          <w:szCs w:val="28"/>
          <w:lang w:val="uk-UA"/>
        </w:rPr>
        <w:t xml:space="preserve">  беруть по модулю з метою врахування двозначних шкал (наприклад, з діапазоном від -15 од. до +15 од.).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Позитивні числа 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обирають із встановленого ряду: 1·10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1,5·10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2,0·10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2,5·10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4·10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5·10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6·10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; (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 xml:space="preserve"> = 1, 0, -1, -2, -3 і т.д.). Допускається використовувати додаткові числа 1,6·10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 xml:space="preserve"> та 3,0·10</w:t>
      </w:r>
      <w:r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lang w:val="uk-UA"/>
        </w:rPr>
        <w:t>. Розрахункове значення наведеної або відносної похибки округляють до найближчого більшого значення з цього ряду і записують як клас точності.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практиці клас точності за формулою (1.67) встановлюють у випадку, коли мультиплікативною складовою можна знехтувати, а за формулою (1.68) – коли незначною є адитивна складова.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встановленні класу точності за наведеною похибкою ЗВ (1.76) нормуюче значення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 w:hAnsi="Cambria Math"/>
                <w:sz w:val="28"/>
                <w:szCs w:val="28"/>
              </w:rPr>
              <m:t>N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>
        <w:rPr>
          <w:sz w:val="28"/>
          <w:szCs w:val="28"/>
          <w:lang w:val="uk-UA"/>
        </w:rPr>
        <w:t xml:space="preserve"> обирається з урахуванням вигляду і характеру шкали вимірювального приладу.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Прилад має рівномірну шкалу і нульова відмітка знаходиться на лівому краю шкали або поза нею. За нормуюче значення приймають кінцеве (праве) значення шкали.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Прилад має рівномірну шкалу і нульова відмітка знаходиться посередині шкали, то нормуюче значення приймають порівняним сумі кінцевих значень шкали, без урахування знаків.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Прилад має умовний нуль – нормуюче значення дорівнюють модулю різниці верхньої і нижньої границь вимірювань. 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Наприклад: для термоелектричного термометра з межами вимірювань 200°С і 600 °С нормуюче значення буде 400 °С.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rFonts w:hint="default"/>
          <w:b/>
          <w:sz w:val="28"/>
          <w:szCs w:val="28"/>
          <w:lang w:val="ru-RU"/>
        </w:rPr>
        <w:t>0</w:t>
      </w:r>
      <w:bookmarkStart w:id="0" w:name="_GoBack"/>
      <w:bookmarkEnd w:id="0"/>
      <w:r>
        <w:rPr>
          <w:b/>
          <w:sz w:val="28"/>
          <w:szCs w:val="28"/>
          <w:lang w:val="uk-UA"/>
        </w:rPr>
        <w:t>.2. Позначення класів точності ЗВ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межі допустимої основної похибки виражені в формі абсолютної похибки ЗВ, то клас точності в документації та на самому ЗВ позначають великими літерами римського алфавіту. Класам точності, яким відповідають менші межі допустимих похибок, надають літери, що знаходяться ближче до начала абетки. Приклади позначень класів точності в документації і на самих ЗВ наведений в таблиці 1. 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 – Позначення класів точності ЗВ</w:t>
      </w:r>
    </w:p>
    <w:p>
      <w:pPr>
        <w:pStyle w:val="19"/>
        <w:keepNext/>
        <w:spacing w:before="0" w:beforeAutospacing="0" w:after="0" w:afterAutospacing="0" w:line="276" w:lineRule="auto"/>
        <w:jc w:val="center"/>
      </w:pPr>
      <w:r>
        <w:drawing>
          <wp:inline distT="0" distB="0" distL="0" distR="0">
            <wp:extent cx="5988050" cy="2292350"/>
            <wp:effectExtent l="19050" t="0" r="0" b="0"/>
            <wp:docPr id="4" name="Рисунок 4" descr="https://studfile.net/html/2706/809/html_3tUu578pyy.NIJZ/htmlconvd-83FQqh_html_633a870ae5c36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tudfile.net/html/2706/809/html_3tUu578pyy.NIJZ/htmlconvd-83FQqh_html_633a870ae5c36b9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2" t="9882" r="1158" b="6353"/>
                    <a:stretch>
                      <a:fillRect/>
                    </a:stretch>
                  </pic:blipFill>
                  <pic:spPr>
                    <a:xfrm>
                      <a:off x="0" y="0"/>
                      <a:ext cx="5988676" cy="229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Межі допустимої додаткової похибки безпосередньо не враховуються при встановленні класу точності ЗВ, але передбачене їх нормування і вказування в технічній документації:</w:t>
      </w:r>
    </w:p>
    <w:p>
      <w:pPr>
        <w:pStyle w:val="3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вигляді постійного значення впливової величини (в межах робочих умов ЗВ) або у вигляді постійних значень по інтервалах впливової величини в робочій області;</w:t>
      </w:r>
    </w:p>
    <w:p>
      <w:pPr>
        <w:pStyle w:val="3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вигляді відношення межі допустимої додаткової похибки, яка відповідає інтервалу значень впливової величини в інтервалі робочих умов ЗВ  до цього інтервалу;</w:t>
      </w:r>
    </w:p>
    <w:p>
      <w:pPr>
        <w:pStyle w:val="3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шляхом вказування функціональної залежності меж допустимих відхилень від номінальної функції впливу.</w:t>
      </w:r>
    </w:p>
    <w:p>
      <w:pPr>
        <w:pStyle w:val="3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Межі допустимої додаткової похибки зазвичай вказують у вигляді часткового (кратного) значення допустимої основної похибки ЗВ. </w:t>
      </w:r>
    </w:p>
    <w:p>
      <w:pPr>
        <w:pStyle w:val="3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Межі допустимих похибок дозволяється виражати не більш ніж двома значущими цифрами, причому округлення похибки при встановленні меж не повинно перевищувати 5 %.   </w:t>
      </w: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p>
      <w:pPr>
        <w:pStyle w:val="19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</w:p>
    <w:sectPr>
      <w:pgSz w:w="11906" w:h="16838"/>
      <w:pgMar w:top="1134" w:right="1274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F33DB"/>
    <w:multiLevelType w:val="multilevel"/>
    <w:tmpl w:val="381F33DB"/>
    <w:lvl w:ilvl="0" w:tentative="0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nsid w:val="7C9A74D4"/>
    <w:multiLevelType w:val="multilevel"/>
    <w:tmpl w:val="7C9A74D4"/>
    <w:lvl w:ilvl="0" w:tentative="0">
      <w:start w:val="13"/>
      <w:numFmt w:val="bullet"/>
      <w:lvlText w:val="-"/>
      <w:lvlJc w:val="left"/>
      <w:pPr>
        <w:ind w:left="786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91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37BA0"/>
    <w:rsid w:val="000400BD"/>
    <w:rsid w:val="00042086"/>
    <w:rsid w:val="0004449E"/>
    <w:rsid w:val="00044EBB"/>
    <w:rsid w:val="00047930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B07"/>
    <w:rsid w:val="00074E0F"/>
    <w:rsid w:val="0008073F"/>
    <w:rsid w:val="00080BF7"/>
    <w:rsid w:val="00082488"/>
    <w:rsid w:val="000871B3"/>
    <w:rsid w:val="00090538"/>
    <w:rsid w:val="000905D1"/>
    <w:rsid w:val="000922CB"/>
    <w:rsid w:val="00092488"/>
    <w:rsid w:val="00092C52"/>
    <w:rsid w:val="00095095"/>
    <w:rsid w:val="000B13AA"/>
    <w:rsid w:val="000B4FCB"/>
    <w:rsid w:val="000B521F"/>
    <w:rsid w:val="000C155A"/>
    <w:rsid w:val="000C3840"/>
    <w:rsid w:val="000C58F6"/>
    <w:rsid w:val="000E0681"/>
    <w:rsid w:val="000E4433"/>
    <w:rsid w:val="000E4F25"/>
    <w:rsid w:val="000E639F"/>
    <w:rsid w:val="000F1C24"/>
    <w:rsid w:val="000F5D5C"/>
    <w:rsid w:val="00102825"/>
    <w:rsid w:val="00105398"/>
    <w:rsid w:val="00106773"/>
    <w:rsid w:val="001106C4"/>
    <w:rsid w:val="001122E1"/>
    <w:rsid w:val="001148A1"/>
    <w:rsid w:val="00121B66"/>
    <w:rsid w:val="0012313F"/>
    <w:rsid w:val="0013087A"/>
    <w:rsid w:val="00132FD7"/>
    <w:rsid w:val="0013708C"/>
    <w:rsid w:val="00141D8B"/>
    <w:rsid w:val="00142827"/>
    <w:rsid w:val="00143DBD"/>
    <w:rsid w:val="00145C9B"/>
    <w:rsid w:val="00157BBB"/>
    <w:rsid w:val="001603A4"/>
    <w:rsid w:val="00162788"/>
    <w:rsid w:val="00165B9E"/>
    <w:rsid w:val="00166B46"/>
    <w:rsid w:val="00167473"/>
    <w:rsid w:val="00167EC0"/>
    <w:rsid w:val="0018038D"/>
    <w:rsid w:val="00180658"/>
    <w:rsid w:val="00192CD2"/>
    <w:rsid w:val="00193395"/>
    <w:rsid w:val="00193716"/>
    <w:rsid w:val="00194662"/>
    <w:rsid w:val="00196EA5"/>
    <w:rsid w:val="001979F1"/>
    <w:rsid w:val="001A2CAD"/>
    <w:rsid w:val="001A4801"/>
    <w:rsid w:val="001A4D9E"/>
    <w:rsid w:val="001B0733"/>
    <w:rsid w:val="001B0BA7"/>
    <w:rsid w:val="001B29BD"/>
    <w:rsid w:val="001C5969"/>
    <w:rsid w:val="001C6B1E"/>
    <w:rsid w:val="001C7822"/>
    <w:rsid w:val="001D6B5E"/>
    <w:rsid w:val="001D6F86"/>
    <w:rsid w:val="001E0C8D"/>
    <w:rsid w:val="001E274B"/>
    <w:rsid w:val="001E4574"/>
    <w:rsid w:val="001E7E13"/>
    <w:rsid w:val="001F23AE"/>
    <w:rsid w:val="001F385B"/>
    <w:rsid w:val="001F4380"/>
    <w:rsid w:val="001F4931"/>
    <w:rsid w:val="0020074E"/>
    <w:rsid w:val="002040EE"/>
    <w:rsid w:val="00211263"/>
    <w:rsid w:val="0021215E"/>
    <w:rsid w:val="002133FC"/>
    <w:rsid w:val="00216E86"/>
    <w:rsid w:val="00227ADC"/>
    <w:rsid w:val="0023057A"/>
    <w:rsid w:val="00233245"/>
    <w:rsid w:val="00234837"/>
    <w:rsid w:val="002351B3"/>
    <w:rsid w:val="00236A8F"/>
    <w:rsid w:val="00241C34"/>
    <w:rsid w:val="00254770"/>
    <w:rsid w:val="00257160"/>
    <w:rsid w:val="00267059"/>
    <w:rsid w:val="00270BBA"/>
    <w:rsid w:val="0027786E"/>
    <w:rsid w:val="002869D3"/>
    <w:rsid w:val="00294935"/>
    <w:rsid w:val="002953DC"/>
    <w:rsid w:val="002A702E"/>
    <w:rsid w:val="002B0C1F"/>
    <w:rsid w:val="002B2E1B"/>
    <w:rsid w:val="002B3B92"/>
    <w:rsid w:val="002B69EB"/>
    <w:rsid w:val="002B7440"/>
    <w:rsid w:val="002C0B89"/>
    <w:rsid w:val="002C1835"/>
    <w:rsid w:val="002C37F9"/>
    <w:rsid w:val="002D5B8D"/>
    <w:rsid w:val="002E2C4C"/>
    <w:rsid w:val="002E473F"/>
    <w:rsid w:val="002E5C16"/>
    <w:rsid w:val="002F2328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20EDE"/>
    <w:rsid w:val="003217FB"/>
    <w:rsid w:val="00336A63"/>
    <w:rsid w:val="00356A00"/>
    <w:rsid w:val="003577E5"/>
    <w:rsid w:val="0036119C"/>
    <w:rsid w:val="00373C08"/>
    <w:rsid w:val="00374AEC"/>
    <w:rsid w:val="0037686F"/>
    <w:rsid w:val="003769E8"/>
    <w:rsid w:val="00377667"/>
    <w:rsid w:val="00384703"/>
    <w:rsid w:val="00395B48"/>
    <w:rsid w:val="003A15E0"/>
    <w:rsid w:val="003A5B1A"/>
    <w:rsid w:val="003B043E"/>
    <w:rsid w:val="003B0982"/>
    <w:rsid w:val="003B0D24"/>
    <w:rsid w:val="003B23F7"/>
    <w:rsid w:val="003C200E"/>
    <w:rsid w:val="003C5E33"/>
    <w:rsid w:val="003C6088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5093"/>
    <w:rsid w:val="00426023"/>
    <w:rsid w:val="00426DC5"/>
    <w:rsid w:val="00440C00"/>
    <w:rsid w:val="00451437"/>
    <w:rsid w:val="00462700"/>
    <w:rsid w:val="0046302B"/>
    <w:rsid w:val="004636C2"/>
    <w:rsid w:val="004640C4"/>
    <w:rsid w:val="0047256A"/>
    <w:rsid w:val="00483F84"/>
    <w:rsid w:val="00486123"/>
    <w:rsid w:val="00486557"/>
    <w:rsid w:val="00487DEB"/>
    <w:rsid w:val="004911B5"/>
    <w:rsid w:val="004929F5"/>
    <w:rsid w:val="004973B5"/>
    <w:rsid w:val="004B2826"/>
    <w:rsid w:val="004B6B02"/>
    <w:rsid w:val="004B7B73"/>
    <w:rsid w:val="004C02DF"/>
    <w:rsid w:val="004C4D4F"/>
    <w:rsid w:val="004D1EBD"/>
    <w:rsid w:val="004D2CB7"/>
    <w:rsid w:val="004D47B7"/>
    <w:rsid w:val="004D5BD1"/>
    <w:rsid w:val="004D5DE5"/>
    <w:rsid w:val="004E199D"/>
    <w:rsid w:val="004E7A0D"/>
    <w:rsid w:val="004F16E6"/>
    <w:rsid w:val="004F332E"/>
    <w:rsid w:val="004F39C1"/>
    <w:rsid w:val="004F50EB"/>
    <w:rsid w:val="00500645"/>
    <w:rsid w:val="00507ACC"/>
    <w:rsid w:val="00512C50"/>
    <w:rsid w:val="005149CC"/>
    <w:rsid w:val="0051560C"/>
    <w:rsid w:val="00517485"/>
    <w:rsid w:val="00520E4B"/>
    <w:rsid w:val="00521DDC"/>
    <w:rsid w:val="005236AB"/>
    <w:rsid w:val="005254E8"/>
    <w:rsid w:val="005304FC"/>
    <w:rsid w:val="00531FCC"/>
    <w:rsid w:val="00532BAC"/>
    <w:rsid w:val="00536178"/>
    <w:rsid w:val="00537A28"/>
    <w:rsid w:val="00540A20"/>
    <w:rsid w:val="00540B5E"/>
    <w:rsid w:val="00540F88"/>
    <w:rsid w:val="0054202C"/>
    <w:rsid w:val="005530BA"/>
    <w:rsid w:val="0055465D"/>
    <w:rsid w:val="00560001"/>
    <w:rsid w:val="005612FA"/>
    <w:rsid w:val="00561406"/>
    <w:rsid w:val="005668F1"/>
    <w:rsid w:val="00566CEF"/>
    <w:rsid w:val="0057146A"/>
    <w:rsid w:val="00580DF0"/>
    <w:rsid w:val="00585057"/>
    <w:rsid w:val="00586D0A"/>
    <w:rsid w:val="00587820"/>
    <w:rsid w:val="00590213"/>
    <w:rsid w:val="00592BC3"/>
    <w:rsid w:val="00593B15"/>
    <w:rsid w:val="00595A9F"/>
    <w:rsid w:val="005A144A"/>
    <w:rsid w:val="005B1275"/>
    <w:rsid w:val="005B36A0"/>
    <w:rsid w:val="005B615C"/>
    <w:rsid w:val="005B7A28"/>
    <w:rsid w:val="005C3EE2"/>
    <w:rsid w:val="005C4636"/>
    <w:rsid w:val="005C5EBE"/>
    <w:rsid w:val="005D205D"/>
    <w:rsid w:val="005D3794"/>
    <w:rsid w:val="005E0DE5"/>
    <w:rsid w:val="005E1D71"/>
    <w:rsid w:val="005F42C3"/>
    <w:rsid w:val="005F45B1"/>
    <w:rsid w:val="005F79A1"/>
    <w:rsid w:val="005F7D3E"/>
    <w:rsid w:val="0060439E"/>
    <w:rsid w:val="006105B4"/>
    <w:rsid w:val="006127DE"/>
    <w:rsid w:val="00614161"/>
    <w:rsid w:val="00614720"/>
    <w:rsid w:val="00615AB2"/>
    <w:rsid w:val="006250C7"/>
    <w:rsid w:val="006253AD"/>
    <w:rsid w:val="006270AB"/>
    <w:rsid w:val="006304ED"/>
    <w:rsid w:val="00636895"/>
    <w:rsid w:val="00636AFA"/>
    <w:rsid w:val="0064264A"/>
    <w:rsid w:val="006504BD"/>
    <w:rsid w:val="00650B94"/>
    <w:rsid w:val="00651089"/>
    <w:rsid w:val="00651C37"/>
    <w:rsid w:val="00655DB3"/>
    <w:rsid w:val="006561F9"/>
    <w:rsid w:val="00664FEA"/>
    <w:rsid w:val="00670109"/>
    <w:rsid w:val="00681188"/>
    <w:rsid w:val="0068199E"/>
    <w:rsid w:val="00683380"/>
    <w:rsid w:val="00684871"/>
    <w:rsid w:val="00684E11"/>
    <w:rsid w:val="00685F7A"/>
    <w:rsid w:val="006A4CC6"/>
    <w:rsid w:val="006A590D"/>
    <w:rsid w:val="006A7211"/>
    <w:rsid w:val="006B3578"/>
    <w:rsid w:val="006B54E0"/>
    <w:rsid w:val="006B6E8D"/>
    <w:rsid w:val="006C5FC1"/>
    <w:rsid w:val="006C7170"/>
    <w:rsid w:val="006C79AA"/>
    <w:rsid w:val="006D0C90"/>
    <w:rsid w:val="006D4091"/>
    <w:rsid w:val="006D7B7C"/>
    <w:rsid w:val="006E1440"/>
    <w:rsid w:val="006E2A6C"/>
    <w:rsid w:val="006E5205"/>
    <w:rsid w:val="006E5C34"/>
    <w:rsid w:val="006E5EE6"/>
    <w:rsid w:val="006E79DF"/>
    <w:rsid w:val="006F194E"/>
    <w:rsid w:val="006F3631"/>
    <w:rsid w:val="006F4E7F"/>
    <w:rsid w:val="006F5428"/>
    <w:rsid w:val="00700564"/>
    <w:rsid w:val="0070073C"/>
    <w:rsid w:val="007014C5"/>
    <w:rsid w:val="00702AEF"/>
    <w:rsid w:val="007034B2"/>
    <w:rsid w:val="007058AC"/>
    <w:rsid w:val="00705CCA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44617"/>
    <w:rsid w:val="007474AC"/>
    <w:rsid w:val="0074793E"/>
    <w:rsid w:val="007530D1"/>
    <w:rsid w:val="007554B2"/>
    <w:rsid w:val="007568E0"/>
    <w:rsid w:val="00763908"/>
    <w:rsid w:val="00766BB7"/>
    <w:rsid w:val="0076750B"/>
    <w:rsid w:val="007676A7"/>
    <w:rsid w:val="00770108"/>
    <w:rsid w:val="007716EE"/>
    <w:rsid w:val="00774B23"/>
    <w:rsid w:val="007828E7"/>
    <w:rsid w:val="00783C37"/>
    <w:rsid w:val="0078419C"/>
    <w:rsid w:val="0078778C"/>
    <w:rsid w:val="00790FAA"/>
    <w:rsid w:val="007916CB"/>
    <w:rsid w:val="007917C4"/>
    <w:rsid w:val="0079371C"/>
    <w:rsid w:val="007A0FD4"/>
    <w:rsid w:val="007A1094"/>
    <w:rsid w:val="007A4938"/>
    <w:rsid w:val="007B4960"/>
    <w:rsid w:val="007D0BC1"/>
    <w:rsid w:val="007D1D24"/>
    <w:rsid w:val="007E0CE2"/>
    <w:rsid w:val="007E47E3"/>
    <w:rsid w:val="007F0A7D"/>
    <w:rsid w:val="007F273D"/>
    <w:rsid w:val="007F2767"/>
    <w:rsid w:val="007F455E"/>
    <w:rsid w:val="007F5B69"/>
    <w:rsid w:val="007F66E9"/>
    <w:rsid w:val="007F6FC7"/>
    <w:rsid w:val="00803C7D"/>
    <w:rsid w:val="00805CC2"/>
    <w:rsid w:val="00806B9A"/>
    <w:rsid w:val="00806EEC"/>
    <w:rsid w:val="00813EE7"/>
    <w:rsid w:val="00815C91"/>
    <w:rsid w:val="00820327"/>
    <w:rsid w:val="00820E94"/>
    <w:rsid w:val="008406DA"/>
    <w:rsid w:val="00844677"/>
    <w:rsid w:val="008448E9"/>
    <w:rsid w:val="00847FB7"/>
    <w:rsid w:val="008507B5"/>
    <w:rsid w:val="00850D55"/>
    <w:rsid w:val="00851749"/>
    <w:rsid w:val="00863283"/>
    <w:rsid w:val="0087379D"/>
    <w:rsid w:val="00875258"/>
    <w:rsid w:val="0087600A"/>
    <w:rsid w:val="00881F5D"/>
    <w:rsid w:val="008825B3"/>
    <w:rsid w:val="00882E55"/>
    <w:rsid w:val="008863FB"/>
    <w:rsid w:val="00886D3A"/>
    <w:rsid w:val="00887537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A465F"/>
    <w:rsid w:val="008B0004"/>
    <w:rsid w:val="008B1B2F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8F4B39"/>
    <w:rsid w:val="00907201"/>
    <w:rsid w:val="00913F80"/>
    <w:rsid w:val="009152EC"/>
    <w:rsid w:val="00921F7B"/>
    <w:rsid w:val="009260DB"/>
    <w:rsid w:val="009340A4"/>
    <w:rsid w:val="00943409"/>
    <w:rsid w:val="00950A39"/>
    <w:rsid w:val="00957195"/>
    <w:rsid w:val="00961E72"/>
    <w:rsid w:val="00966629"/>
    <w:rsid w:val="00972BED"/>
    <w:rsid w:val="00975214"/>
    <w:rsid w:val="00980286"/>
    <w:rsid w:val="00981BBF"/>
    <w:rsid w:val="009839C8"/>
    <w:rsid w:val="0099007C"/>
    <w:rsid w:val="009915E8"/>
    <w:rsid w:val="009A0296"/>
    <w:rsid w:val="009A56CF"/>
    <w:rsid w:val="009A5DB5"/>
    <w:rsid w:val="009B2480"/>
    <w:rsid w:val="009B42F7"/>
    <w:rsid w:val="009B4A8F"/>
    <w:rsid w:val="009B6494"/>
    <w:rsid w:val="009C1755"/>
    <w:rsid w:val="009D02E5"/>
    <w:rsid w:val="009D1AF1"/>
    <w:rsid w:val="009D1EF0"/>
    <w:rsid w:val="009D5E03"/>
    <w:rsid w:val="009E4507"/>
    <w:rsid w:val="009E7A37"/>
    <w:rsid w:val="009F01C9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14227"/>
    <w:rsid w:val="00A16E84"/>
    <w:rsid w:val="00A17D68"/>
    <w:rsid w:val="00A208DC"/>
    <w:rsid w:val="00A278A5"/>
    <w:rsid w:val="00A304E9"/>
    <w:rsid w:val="00A41299"/>
    <w:rsid w:val="00A41DE7"/>
    <w:rsid w:val="00A4618C"/>
    <w:rsid w:val="00A55AB3"/>
    <w:rsid w:val="00A60E0F"/>
    <w:rsid w:val="00A612FC"/>
    <w:rsid w:val="00A637E7"/>
    <w:rsid w:val="00A64E00"/>
    <w:rsid w:val="00A73C57"/>
    <w:rsid w:val="00A82542"/>
    <w:rsid w:val="00A8300F"/>
    <w:rsid w:val="00A86425"/>
    <w:rsid w:val="00A93F2B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1C11"/>
    <w:rsid w:val="00AF2BA7"/>
    <w:rsid w:val="00AF6EF0"/>
    <w:rsid w:val="00B031D4"/>
    <w:rsid w:val="00B20A8F"/>
    <w:rsid w:val="00B20D0F"/>
    <w:rsid w:val="00B2171A"/>
    <w:rsid w:val="00B2255D"/>
    <w:rsid w:val="00B304FF"/>
    <w:rsid w:val="00B3130D"/>
    <w:rsid w:val="00B447C1"/>
    <w:rsid w:val="00B460AD"/>
    <w:rsid w:val="00B4725E"/>
    <w:rsid w:val="00B50B7D"/>
    <w:rsid w:val="00B57A56"/>
    <w:rsid w:val="00B615C9"/>
    <w:rsid w:val="00B63254"/>
    <w:rsid w:val="00B65956"/>
    <w:rsid w:val="00B70D71"/>
    <w:rsid w:val="00B830BB"/>
    <w:rsid w:val="00B875BC"/>
    <w:rsid w:val="00B905E8"/>
    <w:rsid w:val="00B945A0"/>
    <w:rsid w:val="00BA4050"/>
    <w:rsid w:val="00BA6447"/>
    <w:rsid w:val="00BB010B"/>
    <w:rsid w:val="00BB0826"/>
    <w:rsid w:val="00BB1A26"/>
    <w:rsid w:val="00BB3497"/>
    <w:rsid w:val="00BC29E2"/>
    <w:rsid w:val="00BC33E8"/>
    <w:rsid w:val="00BC52B8"/>
    <w:rsid w:val="00BD4B6E"/>
    <w:rsid w:val="00BD63C2"/>
    <w:rsid w:val="00BD79D5"/>
    <w:rsid w:val="00BE27AC"/>
    <w:rsid w:val="00BE3B31"/>
    <w:rsid w:val="00BE522D"/>
    <w:rsid w:val="00BE7E49"/>
    <w:rsid w:val="00BF0B65"/>
    <w:rsid w:val="00BF1E86"/>
    <w:rsid w:val="00BF2337"/>
    <w:rsid w:val="00C000C5"/>
    <w:rsid w:val="00C01750"/>
    <w:rsid w:val="00C017CE"/>
    <w:rsid w:val="00C24DFE"/>
    <w:rsid w:val="00C3016A"/>
    <w:rsid w:val="00C3017A"/>
    <w:rsid w:val="00C320D0"/>
    <w:rsid w:val="00C3705C"/>
    <w:rsid w:val="00C446A1"/>
    <w:rsid w:val="00C60BAA"/>
    <w:rsid w:val="00C61A14"/>
    <w:rsid w:val="00C66C6F"/>
    <w:rsid w:val="00C914CB"/>
    <w:rsid w:val="00C92C81"/>
    <w:rsid w:val="00C9358E"/>
    <w:rsid w:val="00CA079D"/>
    <w:rsid w:val="00CA0A7E"/>
    <w:rsid w:val="00CA1758"/>
    <w:rsid w:val="00CA63E0"/>
    <w:rsid w:val="00CA6970"/>
    <w:rsid w:val="00CC1204"/>
    <w:rsid w:val="00CC354A"/>
    <w:rsid w:val="00CC6DD5"/>
    <w:rsid w:val="00CD3500"/>
    <w:rsid w:val="00CE0852"/>
    <w:rsid w:val="00CE1515"/>
    <w:rsid w:val="00CE37D8"/>
    <w:rsid w:val="00CE7529"/>
    <w:rsid w:val="00CF488A"/>
    <w:rsid w:val="00CF5A8B"/>
    <w:rsid w:val="00D02048"/>
    <w:rsid w:val="00D037E1"/>
    <w:rsid w:val="00D05E88"/>
    <w:rsid w:val="00D11444"/>
    <w:rsid w:val="00D124C8"/>
    <w:rsid w:val="00D2739B"/>
    <w:rsid w:val="00D277FD"/>
    <w:rsid w:val="00D300C1"/>
    <w:rsid w:val="00D30C0B"/>
    <w:rsid w:val="00D311D8"/>
    <w:rsid w:val="00D52F3E"/>
    <w:rsid w:val="00D566F1"/>
    <w:rsid w:val="00D64241"/>
    <w:rsid w:val="00D64C75"/>
    <w:rsid w:val="00D6677C"/>
    <w:rsid w:val="00D67CAE"/>
    <w:rsid w:val="00D7201D"/>
    <w:rsid w:val="00D75396"/>
    <w:rsid w:val="00D76FB9"/>
    <w:rsid w:val="00D800A0"/>
    <w:rsid w:val="00D82845"/>
    <w:rsid w:val="00D83E67"/>
    <w:rsid w:val="00D8597A"/>
    <w:rsid w:val="00D918D4"/>
    <w:rsid w:val="00D930F6"/>
    <w:rsid w:val="00D93C2C"/>
    <w:rsid w:val="00D9614B"/>
    <w:rsid w:val="00DA599D"/>
    <w:rsid w:val="00DB06FF"/>
    <w:rsid w:val="00DB4CA8"/>
    <w:rsid w:val="00DB62CC"/>
    <w:rsid w:val="00DC5F31"/>
    <w:rsid w:val="00DD1009"/>
    <w:rsid w:val="00DD2C5D"/>
    <w:rsid w:val="00DD3282"/>
    <w:rsid w:val="00DD62E1"/>
    <w:rsid w:val="00DD70CC"/>
    <w:rsid w:val="00DE182E"/>
    <w:rsid w:val="00DE4014"/>
    <w:rsid w:val="00DE51DC"/>
    <w:rsid w:val="00DE7F72"/>
    <w:rsid w:val="00DF104A"/>
    <w:rsid w:val="00DF12CF"/>
    <w:rsid w:val="00DF260E"/>
    <w:rsid w:val="00DF32C1"/>
    <w:rsid w:val="00E004DF"/>
    <w:rsid w:val="00E03EDE"/>
    <w:rsid w:val="00E07488"/>
    <w:rsid w:val="00E1522C"/>
    <w:rsid w:val="00E15E5F"/>
    <w:rsid w:val="00E218D5"/>
    <w:rsid w:val="00E2462E"/>
    <w:rsid w:val="00E26B21"/>
    <w:rsid w:val="00E3062A"/>
    <w:rsid w:val="00E3065B"/>
    <w:rsid w:val="00E30DB4"/>
    <w:rsid w:val="00E33798"/>
    <w:rsid w:val="00E3402D"/>
    <w:rsid w:val="00E35485"/>
    <w:rsid w:val="00E36D29"/>
    <w:rsid w:val="00E37B21"/>
    <w:rsid w:val="00E413E1"/>
    <w:rsid w:val="00E55D18"/>
    <w:rsid w:val="00E617F6"/>
    <w:rsid w:val="00E70113"/>
    <w:rsid w:val="00E74284"/>
    <w:rsid w:val="00E746C4"/>
    <w:rsid w:val="00E81811"/>
    <w:rsid w:val="00E82FFA"/>
    <w:rsid w:val="00E83379"/>
    <w:rsid w:val="00E85142"/>
    <w:rsid w:val="00E85404"/>
    <w:rsid w:val="00E913F9"/>
    <w:rsid w:val="00E93BE8"/>
    <w:rsid w:val="00E94CB9"/>
    <w:rsid w:val="00E979CA"/>
    <w:rsid w:val="00EA2FA5"/>
    <w:rsid w:val="00EB1618"/>
    <w:rsid w:val="00EB1AA2"/>
    <w:rsid w:val="00EB214E"/>
    <w:rsid w:val="00EB4999"/>
    <w:rsid w:val="00EB6202"/>
    <w:rsid w:val="00EC4170"/>
    <w:rsid w:val="00EC5A3D"/>
    <w:rsid w:val="00EC67A7"/>
    <w:rsid w:val="00ED1867"/>
    <w:rsid w:val="00ED305D"/>
    <w:rsid w:val="00EE167F"/>
    <w:rsid w:val="00EE5494"/>
    <w:rsid w:val="00EE78EB"/>
    <w:rsid w:val="00EE7F4F"/>
    <w:rsid w:val="00EF1DC9"/>
    <w:rsid w:val="00EF6EDC"/>
    <w:rsid w:val="00F02045"/>
    <w:rsid w:val="00F05A90"/>
    <w:rsid w:val="00F06707"/>
    <w:rsid w:val="00F067F2"/>
    <w:rsid w:val="00F148A8"/>
    <w:rsid w:val="00F15B06"/>
    <w:rsid w:val="00F25AD0"/>
    <w:rsid w:val="00F33059"/>
    <w:rsid w:val="00F34653"/>
    <w:rsid w:val="00F40142"/>
    <w:rsid w:val="00F41629"/>
    <w:rsid w:val="00F4243D"/>
    <w:rsid w:val="00F436E9"/>
    <w:rsid w:val="00F44D6E"/>
    <w:rsid w:val="00F530AC"/>
    <w:rsid w:val="00F651A5"/>
    <w:rsid w:val="00F65EF0"/>
    <w:rsid w:val="00F7134E"/>
    <w:rsid w:val="00F7525F"/>
    <w:rsid w:val="00F7674F"/>
    <w:rsid w:val="00F8210E"/>
    <w:rsid w:val="00F835F4"/>
    <w:rsid w:val="00F90498"/>
    <w:rsid w:val="00F915AF"/>
    <w:rsid w:val="00F9456C"/>
    <w:rsid w:val="00F960A3"/>
    <w:rsid w:val="00F96584"/>
    <w:rsid w:val="00FA33D3"/>
    <w:rsid w:val="00FA3F71"/>
    <w:rsid w:val="00FA632E"/>
    <w:rsid w:val="00FC0709"/>
    <w:rsid w:val="00FC2180"/>
    <w:rsid w:val="00FD26FB"/>
    <w:rsid w:val="00FD5A05"/>
    <w:rsid w:val="00FE0278"/>
    <w:rsid w:val="00FE0C48"/>
    <w:rsid w:val="00FE48E8"/>
    <w:rsid w:val="00FE6DD7"/>
    <w:rsid w:val="00FF1599"/>
    <w:rsid w:val="00FF356E"/>
    <w:rsid w:val="077670BF"/>
    <w:rsid w:val="243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arc" idref="#_x0000_s1040"/>
        <o:r id="V:Rule14" type="connector" idref="#_x0000_s1041"/>
        <o:r id="V:Rule15" type="connector" idref="#_x0000_s1042"/>
        <o:r id="V:Rule16" type="arc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Balloon Text"/>
    <w:basedOn w:val="1"/>
    <w:link w:val="4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Title"/>
    <w:basedOn w:val="1"/>
    <w:next w:val="1"/>
    <w:link w:val="3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0">
    <w:name w:val="Subtitle"/>
    <w:basedOn w:val="1"/>
    <w:next w:val="1"/>
    <w:link w:val="3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22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3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4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7">
    <w:name w:val="Заголовок 6 Знак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8">
    <w:name w:val="Заголовок 7 Знак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Заголовок 8 Знак"/>
    <w:basedOn w:val="11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0">
    <w:name w:val="Заголовок 9 Знак"/>
    <w:basedOn w:val="11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Название Знак"/>
    <w:basedOn w:val="11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2">
    <w:name w:val="Подзаголовок Знак"/>
    <w:basedOn w:val="11"/>
    <w:link w:val="2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Цитата 2 Знак"/>
    <w:basedOn w:val="11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Выделенная цитата Знак"/>
    <w:basedOn w:val="11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  <w:lang w:val="uk-UA"/>
    </w:rPr>
  </w:style>
  <w:style w:type="character" w:styleId="45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8638C-25D2-4446-9595-154359B90C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1899</Words>
  <Characters>10828</Characters>
  <Lines>90</Lines>
  <Paragraphs>25</Paragraphs>
  <TotalTime>4</TotalTime>
  <ScaleCrop>false</ScaleCrop>
  <LinksUpToDate>false</LinksUpToDate>
  <CharactersWithSpaces>12702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2022-11-29T03:10:00Z</dcterms:created>
  <dc:creator>Tamara</dc:creator>
  <cp:lastModifiedBy>Tamara</cp:lastModifiedBy>
  <dcterms:modified xsi:type="dcterms:W3CDTF">2023-11-07T19:44:35Z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22BC9BD3DD5F46B4A4A7A01859CBDB37_13</vt:lpwstr>
  </property>
</Properties>
</file>